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A21" w:rsidRDefault="00D05A21" w:rsidP="00D05A21">
      <w:pPr>
        <w:rPr>
          <w:rFonts w:ascii="Times New Roman" w:hAnsi="Times New Roman" w:cs="Times New Roman"/>
          <w:b/>
          <w:bCs/>
          <w:sz w:val="20"/>
          <w:szCs w:val="20"/>
          <w:lang w:val="en-US"/>
        </w:rPr>
      </w:pPr>
      <w:bookmarkStart w:id="0" w:name="_GoBack"/>
      <w:bookmarkEnd w:id="0"/>
      <w:r>
        <w:rPr>
          <w:rFonts w:ascii="Times New Roman" w:hAnsi="Times New Roman" w:cs="Times New Roman"/>
          <w:b/>
          <w:bCs/>
          <w:sz w:val="20"/>
          <w:szCs w:val="20"/>
          <w:lang w:val="en-US"/>
        </w:rPr>
        <w:t>Annex III</w:t>
      </w:r>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r w:rsidR="00D05A21" w:rsidRPr="00EF444F">
        <w:rPr>
          <w:rFonts w:ascii="Times New Roman" w:hAnsi="Times New Roman" w:cs="Times New Roman"/>
          <w:b/>
          <w:sz w:val="20"/>
          <w:szCs w:val="20"/>
          <w:lang w:val="en-GB"/>
        </w:rPr>
        <w:t xml:space="preserve">measures </w:t>
      </w:r>
      <w:r w:rsidRPr="00EF444F">
        <w:rPr>
          <w:rFonts w:ascii="Times New Roman" w:hAnsi="Times New Roman" w:cs="Times New Roman"/>
          <w:b/>
          <w:sz w:val="20"/>
          <w:szCs w:val="20"/>
          <w:lang w:val="en-GB"/>
        </w:rPr>
        <w:t xml:space="preserve">and </w:t>
      </w:r>
      <w:proofErr w:type="spellStart"/>
      <w:r w:rsidRPr="00EF444F">
        <w:rPr>
          <w:rFonts w:ascii="Times New Roman" w:hAnsi="Times New Roman" w:cs="Times New Roman"/>
          <w:b/>
          <w:sz w:val="20"/>
          <w:szCs w:val="20"/>
          <w:lang w:val="en-GB"/>
        </w:rPr>
        <w:t>transitionals</w:t>
      </w:r>
      <w:proofErr w:type="spellEnd"/>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6F704C"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reported by identifying the </w:t>
      </w:r>
      <w:r w:rsidRPr="006F704C">
        <w:rPr>
          <w:rFonts w:ascii="Times New Roman" w:hAnsi="Times New Roman" w:cs="Times New Roman"/>
          <w:sz w:val="20"/>
          <w:szCs w:val="20"/>
          <w:lang w:val="en-GB"/>
        </w:rPr>
        <w:t>columns and lines as showed in the template in Annex I.</w:t>
      </w:r>
    </w:p>
    <w:p w:rsidR="00AC1B79" w:rsidRPr="006F704C" w:rsidRDefault="00AC1B79"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 xml:space="preserve">This annex relates to annual submission of information for </w:t>
      </w:r>
      <w:r w:rsidR="00200EC4">
        <w:rPr>
          <w:rFonts w:ascii="Times New Roman" w:hAnsi="Times New Roman" w:cs="Times New Roman"/>
          <w:sz w:val="20"/>
          <w:szCs w:val="20"/>
          <w:lang w:val="en-US"/>
        </w:rPr>
        <w:t>groups</w:t>
      </w:r>
      <w:r w:rsidRPr="006F704C">
        <w:rPr>
          <w:rFonts w:ascii="Times New Roman" w:hAnsi="Times New Roman" w:cs="Times New Roman"/>
          <w:sz w:val="20"/>
          <w:szCs w:val="20"/>
          <w:lang w:val="en-US"/>
        </w:rPr>
        <w:t>.</w:t>
      </w:r>
    </w:p>
    <w:p w:rsidR="00C41668" w:rsidRDefault="00C41668"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 xml:space="preserve">This template is applicable when at least one long term guarantee measure or transitional is used by </w:t>
      </w:r>
      <w:r w:rsidR="00962D3D" w:rsidRPr="006F704C">
        <w:rPr>
          <w:rFonts w:ascii="Times New Roman" w:hAnsi="Times New Roman" w:cs="Times New Roman"/>
          <w:sz w:val="20"/>
          <w:szCs w:val="20"/>
          <w:lang w:val="en-US"/>
        </w:rPr>
        <w:t>any</w:t>
      </w:r>
      <w:r w:rsidRPr="006F704C">
        <w:rPr>
          <w:rFonts w:ascii="Times New Roman" w:hAnsi="Times New Roman" w:cs="Times New Roman"/>
          <w:sz w:val="20"/>
          <w:szCs w:val="20"/>
          <w:lang w:val="en-US"/>
        </w:rPr>
        <w:t xml:space="preserve"> undertaking</w:t>
      </w:r>
      <w:r w:rsidR="00962D3D" w:rsidRPr="006F704C">
        <w:rPr>
          <w:rFonts w:ascii="Times New Roman" w:hAnsi="Times New Roman" w:cs="Times New Roman"/>
          <w:sz w:val="20"/>
          <w:szCs w:val="20"/>
          <w:lang w:val="en-US"/>
        </w:rPr>
        <w:t xml:space="preserve"> within the scope of the group</w:t>
      </w:r>
      <w:r w:rsidRPr="006F704C">
        <w:rPr>
          <w:rFonts w:ascii="Times New Roman" w:hAnsi="Times New Roman" w:cs="Times New Roman"/>
          <w:sz w:val="20"/>
          <w:szCs w:val="20"/>
          <w:lang w:val="en-US"/>
        </w:rPr>
        <w:t>.</w:t>
      </w:r>
    </w:p>
    <w:p w:rsidR="0087398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r w:rsidR="00D05A21" w:rsidRPr="00D05A21">
        <w:rPr>
          <w:rFonts w:ascii="Times New Roman" w:hAnsi="Times New Roman" w:cs="Times New Roman"/>
          <w:sz w:val="20"/>
          <w:szCs w:val="20"/>
          <w:lang w:val="en-US"/>
        </w:rPr>
        <w:t xml:space="preserve">or transitional </w:t>
      </w:r>
      <w:r w:rsidR="00043FD3">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624E25" w:rsidRPr="00916576" w:rsidRDefault="00624E25" w:rsidP="00624E25">
      <w:pPr>
        <w:jc w:val="both"/>
        <w:rPr>
          <w:rFonts w:ascii="Times New Roman" w:hAnsi="Times New Roman" w:cs="Times New Roman"/>
          <w:sz w:val="20"/>
          <w:szCs w:val="20"/>
          <w:lang w:val="en-US"/>
        </w:rPr>
      </w:pPr>
      <w:r>
        <w:rPr>
          <w:rFonts w:ascii="Times New Roman" w:hAnsi="Times New Roman" w:cs="Times New Roman"/>
          <w:sz w:val="20"/>
          <w:szCs w:val="20"/>
          <w:lang w:val="en-US"/>
        </w:rPr>
        <w:t>The impacts need to be reported positive if they increase the amount of the item being reported and negative if it decreases the amount of the item (e.g. if amount of SCR increases or if amount of Own Funds increase then positive values should be reported).</w:t>
      </w:r>
    </w:p>
    <w:p w:rsidR="004F5AE7" w:rsidRPr="00916576" w:rsidRDefault="00FD43D7" w:rsidP="00FD43D7">
      <w:pPr>
        <w:jc w:val="both"/>
        <w:rPr>
          <w:rFonts w:ascii="Times New Roman" w:hAnsi="Times New Roman" w:cs="Times New Roman"/>
          <w:sz w:val="20"/>
          <w:szCs w:val="20"/>
          <w:lang w:val="en-US"/>
        </w:rPr>
      </w:pPr>
      <w:r w:rsidRPr="00950B92">
        <w:rPr>
          <w:rFonts w:ascii="Times New Roman" w:hAnsi="Times New Roman" w:cs="Times New Roman"/>
          <w:sz w:val="20"/>
          <w:szCs w:val="20"/>
          <w:lang w:val="en-US"/>
        </w:rPr>
        <w:t xml:space="preserve">The amounts reported in this template shall be </w:t>
      </w:r>
      <w:r w:rsidR="004F5AE7" w:rsidRPr="004560D9">
        <w:rPr>
          <w:rFonts w:ascii="Times New Roman" w:hAnsi="Times New Roman" w:cs="Times New Roman"/>
          <w:sz w:val="20"/>
          <w:szCs w:val="20"/>
          <w:lang w:val="en-US"/>
        </w:rPr>
        <w:t>net of I</w:t>
      </w:r>
      <w:r w:rsidRPr="004560D9">
        <w:rPr>
          <w:rFonts w:ascii="Times New Roman" w:hAnsi="Times New Roman" w:cs="Times New Roman"/>
          <w:sz w:val="20"/>
          <w:szCs w:val="20"/>
          <w:lang w:val="en-US"/>
        </w:rPr>
        <w:t xml:space="preserve">ntra </w:t>
      </w:r>
      <w:r w:rsidR="004F5AE7" w:rsidRPr="00950B92">
        <w:rPr>
          <w:rFonts w:ascii="Times New Roman" w:hAnsi="Times New Roman" w:cs="Times New Roman"/>
          <w:sz w:val="20"/>
          <w:szCs w:val="20"/>
          <w:lang w:val="en-US"/>
        </w:rPr>
        <w:t>G</w:t>
      </w:r>
      <w:r w:rsidRPr="004560D9">
        <w:rPr>
          <w:rFonts w:ascii="Times New Roman" w:hAnsi="Times New Roman" w:cs="Times New Roman"/>
          <w:sz w:val="20"/>
          <w:szCs w:val="20"/>
          <w:lang w:val="en-US"/>
        </w:rPr>
        <w:t xml:space="preserve">roup </w:t>
      </w:r>
      <w:r w:rsidR="004F5AE7" w:rsidRPr="00950B92">
        <w:rPr>
          <w:rFonts w:ascii="Times New Roman" w:hAnsi="Times New Roman" w:cs="Times New Roman"/>
          <w:sz w:val="20"/>
          <w:szCs w:val="20"/>
          <w:lang w:val="en-US"/>
        </w:rPr>
        <w:t>T</w:t>
      </w:r>
      <w:r w:rsidRPr="004560D9">
        <w:rPr>
          <w:rFonts w:ascii="Times New Roman" w:hAnsi="Times New Roman" w:cs="Times New Roman"/>
          <w:sz w:val="20"/>
          <w:szCs w:val="20"/>
          <w:lang w:val="en-US"/>
        </w:rPr>
        <w:t>ransactions.</w:t>
      </w:r>
    </w:p>
    <w:tbl>
      <w:tblPr>
        <w:tblStyle w:val="TableGrid"/>
        <w:tblW w:w="8494" w:type="dxa"/>
        <w:tblLayout w:type="fixed"/>
        <w:tblLook w:val="04A0" w:firstRow="1" w:lastRow="0" w:firstColumn="1" w:lastColumn="0" w:noHBand="0" w:noVBand="1"/>
      </w:tblPr>
      <w:tblGrid>
        <w:gridCol w:w="1384"/>
        <w:gridCol w:w="2268"/>
        <w:gridCol w:w="29"/>
        <w:gridCol w:w="4813"/>
      </w:tblGrid>
      <w:tr w:rsidR="00873986" w:rsidTr="004560D9">
        <w:trPr>
          <w:trHeight w:val="300"/>
        </w:trPr>
        <w:tc>
          <w:tcPr>
            <w:tcW w:w="1384"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 </w:t>
            </w:r>
          </w:p>
        </w:tc>
        <w:tc>
          <w:tcPr>
            <w:tcW w:w="2297" w:type="dxa"/>
            <w:gridSpan w:val="2"/>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4813" w:type="dxa"/>
            <w:hideMark/>
          </w:tcPr>
          <w:p w:rsidR="00873986" w:rsidRDefault="00873986" w:rsidP="00782C37">
            <w:pPr>
              <w:rPr>
                <w:rFonts w:ascii="Times New Roman" w:hAnsi="Times New Roman"/>
                <w:b/>
                <w:bCs/>
                <w:sz w:val="20"/>
                <w:szCs w:val="20"/>
                <w:lang w:val="en-US"/>
              </w:rPr>
            </w:pPr>
            <w:r>
              <w:rPr>
                <w:rFonts w:ascii="Times New Roman" w:hAnsi="Times New Roman"/>
                <w:b/>
                <w:bCs/>
                <w:sz w:val="20"/>
                <w:szCs w:val="20"/>
                <w:lang w:val="en-US"/>
              </w:rPr>
              <w:t xml:space="preserve">                       INSTRUCTIONS</w:t>
            </w:r>
          </w:p>
        </w:tc>
      </w:tr>
      <w:tr w:rsidR="00873986" w:rsidRPr="00363326" w:rsidTr="004560D9">
        <w:tc>
          <w:tcPr>
            <w:tcW w:w="1384" w:type="dxa"/>
          </w:tcPr>
          <w:p w:rsidR="00873986" w:rsidRPr="002A3027" w:rsidRDefault="00873986" w:rsidP="004560D9">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268" w:type="dxa"/>
          </w:tcPr>
          <w:p w:rsidR="00873986" w:rsidRPr="002A3027" w:rsidRDefault="00DB2EDE" w:rsidP="004560D9">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873986" w:rsidRPr="002A3027">
              <w:rPr>
                <w:rFonts w:ascii="Times New Roman" w:hAnsi="Times New Roman" w:cs="Times New Roman"/>
                <w:sz w:val="20"/>
                <w:szCs w:val="20"/>
                <w:lang w:val="en-GB"/>
              </w:rPr>
              <w:t xml:space="preserve"> – Technical Provisions</w:t>
            </w:r>
          </w:p>
        </w:tc>
        <w:tc>
          <w:tcPr>
            <w:tcW w:w="4842" w:type="dxa"/>
            <w:gridSpan w:val="2"/>
          </w:tcPr>
          <w:p w:rsidR="00873986" w:rsidRPr="002A3027" w:rsidRDefault="00873986" w:rsidP="004560D9">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4560D9">
        <w:tc>
          <w:tcPr>
            <w:tcW w:w="1384"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268"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rsidP="004560D9">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4560D9">
        <w:tc>
          <w:tcPr>
            <w:tcW w:w="1384" w:type="dxa"/>
          </w:tcPr>
          <w:p w:rsidR="00873986"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C0030/R0010</w:t>
            </w:r>
          </w:p>
        </w:tc>
        <w:tc>
          <w:tcPr>
            <w:tcW w:w="2268" w:type="dxa"/>
          </w:tcPr>
          <w:p w:rsidR="00873986" w:rsidRPr="00276F8A"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4560D9">
        <w:tc>
          <w:tcPr>
            <w:tcW w:w="1384"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C0040/R0010</w:t>
            </w:r>
          </w:p>
        </w:tc>
        <w:tc>
          <w:tcPr>
            <w:tcW w:w="2268"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4560D9">
        <w:tc>
          <w:tcPr>
            <w:tcW w:w="1384" w:type="dxa"/>
          </w:tcPr>
          <w:p w:rsidR="00873986" w:rsidRPr="0095474B" w:rsidRDefault="00873986" w:rsidP="004560D9">
            <w:pPr>
              <w:rPr>
                <w:rFonts w:ascii="Times New Roman" w:hAnsi="Times New Roman" w:cs="Times New Roman"/>
                <w:sz w:val="20"/>
                <w:szCs w:val="20"/>
                <w:lang w:val="en-US"/>
              </w:rPr>
            </w:pPr>
            <w:r>
              <w:rPr>
                <w:rFonts w:ascii="Times New Roman" w:hAnsi="Times New Roman" w:cs="Times New Roman"/>
                <w:sz w:val="20"/>
                <w:szCs w:val="20"/>
                <w:lang w:val="en-US"/>
              </w:rPr>
              <w:t>C0050/R0010</w:t>
            </w:r>
          </w:p>
        </w:tc>
        <w:tc>
          <w:tcPr>
            <w:tcW w:w="2268" w:type="dxa"/>
          </w:tcPr>
          <w:p w:rsidR="00873986" w:rsidRPr="00276F8A"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4560D9">
        <w:tc>
          <w:tcPr>
            <w:tcW w:w="1384"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C0060/R0010</w:t>
            </w:r>
          </w:p>
        </w:tc>
        <w:tc>
          <w:tcPr>
            <w:tcW w:w="2268"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4560D9">
        <w:tc>
          <w:tcPr>
            <w:tcW w:w="1384" w:type="dxa"/>
          </w:tcPr>
          <w:p w:rsidR="00873986"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C0070/R0010</w:t>
            </w:r>
          </w:p>
        </w:tc>
        <w:tc>
          <w:tcPr>
            <w:tcW w:w="2268" w:type="dxa"/>
          </w:tcPr>
          <w:p w:rsidR="00873986" w:rsidRPr="00276F8A"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reflect the impact of setting the volatility adjustment to </w:t>
            </w:r>
            <w:r w:rsidR="00AF316A">
              <w:rPr>
                <w:rFonts w:ascii="Times New Roman" w:hAnsi="Times New Roman" w:cs="Times New Roman"/>
                <w:sz w:val="20"/>
                <w:szCs w:val="20"/>
                <w:lang w:val="en-GB"/>
              </w:rPr>
              <w:lastRenderedPageBreak/>
              <w:t>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C0040. </w:t>
            </w:r>
          </w:p>
        </w:tc>
      </w:tr>
      <w:tr w:rsidR="00873986" w:rsidRPr="00363326" w:rsidTr="004560D9">
        <w:tc>
          <w:tcPr>
            <w:tcW w:w="1384"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C0080/R0010</w:t>
            </w:r>
          </w:p>
        </w:tc>
        <w:tc>
          <w:tcPr>
            <w:tcW w:w="2268" w:type="dxa"/>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4560D9">
        <w:tc>
          <w:tcPr>
            <w:tcW w:w="1384" w:type="dxa"/>
          </w:tcPr>
          <w:p w:rsidR="00873986"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C0090/R0010</w:t>
            </w:r>
          </w:p>
        </w:tc>
        <w:tc>
          <w:tcPr>
            <w:tcW w:w="2268" w:type="dxa"/>
          </w:tcPr>
          <w:p w:rsidR="00873986" w:rsidRPr="00276F8A"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tc>
      </w:tr>
      <w:tr w:rsidR="00873986" w:rsidRPr="00916576" w:rsidTr="004560D9">
        <w:tc>
          <w:tcPr>
            <w:tcW w:w="1384" w:type="dxa"/>
            <w:tcBorders>
              <w:bottom w:val="single" w:sz="4" w:space="0" w:color="auto"/>
            </w:tcBorders>
          </w:tcPr>
          <w:p w:rsidR="00873986" w:rsidRPr="002A3027" w:rsidRDefault="00873986"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0010</w:t>
            </w:r>
          </w:p>
        </w:tc>
        <w:tc>
          <w:tcPr>
            <w:tcW w:w="2268" w:type="dxa"/>
            <w:tcBorders>
              <w:bottom w:val="single" w:sz="4" w:space="0" w:color="auto"/>
            </w:tcBorders>
          </w:tcPr>
          <w:p w:rsidR="00873986" w:rsidRPr="002A3027" w:rsidRDefault="00676789" w:rsidP="004560D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w:t>
            </w:r>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Technical Provisions</w:t>
            </w:r>
          </w:p>
        </w:tc>
        <w:tc>
          <w:tcPr>
            <w:tcW w:w="4842" w:type="dxa"/>
            <w:gridSpan w:val="2"/>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 xml:space="preserve">rovisions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297" w:type="dxa"/>
            <w:gridSpan w:val="2"/>
            <w:tcBorders>
              <w:bottom w:val="single" w:sz="4" w:space="0" w:color="auto"/>
            </w:tcBorders>
          </w:tcPr>
          <w:p w:rsidR="00960EE3" w:rsidRPr="002A3027" w:rsidRDefault="00DB2EDE" w:rsidP="004560D9">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215051">
              <w:rPr>
                <w:rFonts w:ascii="Times New Roman" w:hAnsi="Times New Roman" w:cs="Times New Roman"/>
                <w:sz w:val="20"/>
                <w:szCs w:val="20"/>
                <w:lang w:val="en-GB"/>
              </w:rPr>
              <w:t xml:space="preserve"> </w:t>
            </w:r>
            <w:r w:rsidR="00960EE3" w:rsidRPr="002A3027">
              <w:rPr>
                <w:rFonts w:ascii="Times New Roman" w:hAnsi="Times New Roman" w:cs="Times New Roman"/>
                <w:sz w:val="20"/>
                <w:szCs w:val="20"/>
                <w:lang w:val="en-GB"/>
              </w:rPr>
              <w:t xml:space="preserve">– </w:t>
            </w:r>
            <w:r w:rsidR="00960EE3">
              <w:rPr>
                <w:rFonts w:ascii="Times New Roman" w:hAnsi="Times New Roman" w:cs="Times New Roman"/>
                <w:sz w:val="20"/>
                <w:szCs w:val="20"/>
                <w:lang w:val="en-GB"/>
              </w:rPr>
              <w:t>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E508E">
              <w:rPr>
                <w:rFonts w:ascii="Times New Roman" w:hAnsi="Times New Roman" w:cs="Times New Roman"/>
                <w:sz w:val="20"/>
                <w:szCs w:val="20"/>
                <w:lang w:val="en-GB"/>
              </w:rPr>
              <w:t>.</w:t>
            </w: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297" w:type="dxa"/>
            <w:gridSpan w:val="2"/>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960EE3" w:rsidRPr="00916576" w:rsidTr="004560D9">
        <w:tc>
          <w:tcPr>
            <w:tcW w:w="1384" w:type="dxa"/>
            <w:tcBorders>
              <w:bottom w:val="single" w:sz="4" w:space="0" w:color="auto"/>
            </w:tcBorders>
          </w:tcPr>
          <w:p w:rsidR="00960EE3"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C0030/R0020</w:t>
            </w:r>
          </w:p>
        </w:tc>
        <w:tc>
          <w:tcPr>
            <w:tcW w:w="2297" w:type="dxa"/>
            <w:gridSpan w:val="2"/>
            <w:tcBorders>
              <w:bottom w:val="single" w:sz="4" w:space="0" w:color="auto"/>
            </w:tcBorders>
          </w:tcPr>
          <w:p w:rsidR="00960EE3" w:rsidRPr="00276F8A"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C0040/R0020</w:t>
            </w:r>
          </w:p>
        </w:tc>
        <w:tc>
          <w:tcPr>
            <w:tcW w:w="2297"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960EE3" w:rsidRPr="00916576" w:rsidTr="004560D9">
        <w:tc>
          <w:tcPr>
            <w:tcW w:w="1384" w:type="dxa"/>
            <w:tcBorders>
              <w:bottom w:val="single" w:sz="4" w:space="0" w:color="auto"/>
            </w:tcBorders>
          </w:tcPr>
          <w:p w:rsidR="00960EE3" w:rsidRPr="0095474B" w:rsidRDefault="00960EE3" w:rsidP="004560D9">
            <w:pPr>
              <w:rPr>
                <w:rFonts w:ascii="Times New Roman" w:hAnsi="Times New Roman" w:cs="Times New Roman"/>
                <w:sz w:val="20"/>
                <w:szCs w:val="20"/>
                <w:lang w:val="en-US"/>
              </w:rPr>
            </w:pPr>
            <w:r>
              <w:rPr>
                <w:rFonts w:ascii="Times New Roman" w:hAnsi="Times New Roman" w:cs="Times New Roman"/>
                <w:sz w:val="20"/>
                <w:szCs w:val="20"/>
                <w:lang w:val="en-US"/>
              </w:rPr>
              <w:t>C0050/R0020</w:t>
            </w:r>
          </w:p>
        </w:tc>
        <w:tc>
          <w:tcPr>
            <w:tcW w:w="2297"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C0060/R0020</w:t>
            </w:r>
          </w:p>
        </w:tc>
        <w:tc>
          <w:tcPr>
            <w:tcW w:w="2297"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960EE3" w:rsidRPr="00363326" w:rsidTr="004560D9">
        <w:tc>
          <w:tcPr>
            <w:tcW w:w="1384" w:type="dxa"/>
            <w:tcBorders>
              <w:bottom w:val="single" w:sz="4" w:space="0" w:color="auto"/>
            </w:tcBorders>
          </w:tcPr>
          <w:p w:rsidR="00960EE3"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C0070/R0020</w:t>
            </w:r>
          </w:p>
        </w:tc>
        <w:tc>
          <w:tcPr>
            <w:tcW w:w="2297"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E70FBA" w:rsidRPr="006F704C" w:rsidRDefault="004540B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and C0040. </w:t>
            </w: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C0080/R0020</w:t>
            </w:r>
          </w:p>
        </w:tc>
        <w:tc>
          <w:tcPr>
            <w:tcW w:w="2297"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4560D9">
        <w:tc>
          <w:tcPr>
            <w:tcW w:w="1384" w:type="dxa"/>
            <w:tcBorders>
              <w:bottom w:val="single" w:sz="4" w:space="0" w:color="auto"/>
            </w:tcBorders>
          </w:tcPr>
          <w:p w:rsidR="00960EE3"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C0090/R0020</w:t>
            </w:r>
          </w:p>
        </w:tc>
        <w:tc>
          <w:tcPr>
            <w:tcW w:w="2297"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3A2966" w:rsidRPr="006F704C" w:rsidRDefault="000C271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tc>
      </w:tr>
      <w:tr w:rsidR="00960EE3" w:rsidRPr="00916576" w:rsidTr="004560D9">
        <w:tc>
          <w:tcPr>
            <w:tcW w:w="1384" w:type="dxa"/>
            <w:tcBorders>
              <w:bottom w:val="single" w:sz="4" w:space="0" w:color="auto"/>
            </w:tcBorders>
          </w:tcPr>
          <w:p w:rsidR="00960EE3" w:rsidRPr="002A3027" w:rsidRDefault="00960EE3"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Pr>
                <w:rFonts w:ascii="Times New Roman" w:hAnsi="Times New Roman" w:cs="Times New Roman"/>
                <w:sz w:val="20"/>
                <w:szCs w:val="20"/>
                <w:lang w:val="en-GB"/>
              </w:rPr>
              <w:t>0</w:t>
            </w:r>
          </w:p>
        </w:tc>
        <w:tc>
          <w:tcPr>
            <w:tcW w:w="2297" w:type="dxa"/>
            <w:gridSpan w:val="2"/>
            <w:tcBorders>
              <w:bottom w:val="single" w:sz="4" w:space="0" w:color="auto"/>
            </w:tcBorders>
          </w:tcPr>
          <w:p w:rsidR="00960EE3"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960EE3">
              <w:rPr>
                <w:rFonts w:ascii="Times New Roman" w:hAnsi="Times New Roman" w:cs="Times New Roman"/>
                <w:sz w:val="20"/>
                <w:szCs w:val="20"/>
                <w:lang w:val="en-GB"/>
              </w:rPr>
              <w:t xml:space="preserve"> </w:t>
            </w:r>
            <w:r w:rsidR="00960EE3" w:rsidRPr="002A3027">
              <w:rPr>
                <w:rFonts w:ascii="Times New Roman" w:hAnsi="Times New Roman" w:cs="Times New Roman"/>
                <w:sz w:val="20"/>
                <w:szCs w:val="20"/>
                <w:lang w:val="en-GB"/>
              </w:rPr>
              <w:t>–</w:t>
            </w:r>
            <w:r w:rsidR="00960EE3">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 xml:space="preserve">asic own funds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297" w:type="dxa"/>
            <w:gridSpan w:val="2"/>
            <w:tcBorders>
              <w:bottom w:val="single" w:sz="4" w:space="0" w:color="auto"/>
            </w:tcBorders>
          </w:tcPr>
          <w:p w:rsidR="00E70FBA"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A30DCD">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C0030/R0030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E70FBA" w:rsidRPr="002A3027" w:rsidRDefault="00D5189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C0040/R0030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4560D9">
        <w:tc>
          <w:tcPr>
            <w:tcW w:w="1384" w:type="dxa"/>
            <w:tcBorders>
              <w:bottom w:val="single" w:sz="4" w:space="0" w:color="auto"/>
            </w:tcBorders>
          </w:tcPr>
          <w:p w:rsidR="00E70FBA" w:rsidRPr="0095474B" w:rsidRDefault="00E70FBA" w:rsidP="004560D9">
            <w:pPr>
              <w:rPr>
                <w:rFonts w:ascii="Times New Roman" w:hAnsi="Times New Roman" w:cs="Times New Roman"/>
                <w:sz w:val="20"/>
                <w:szCs w:val="20"/>
                <w:lang w:val="en-US"/>
              </w:rPr>
            </w:pPr>
            <w:r>
              <w:rPr>
                <w:rFonts w:ascii="Times New Roman" w:hAnsi="Times New Roman" w:cs="Times New Roman"/>
                <w:sz w:val="20"/>
                <w:szCs w:val="20"/>
                <w:lang w:val="en-US"/>
              </w:rPr>
              <w:t>C0050/R0030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C0060/R0030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C0070/R0030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676789" w:rsidRPr="00676789">
              <w:rPr>
                <w:rFonts w:ascii="Times New Roman" w:hAnsi="Times New Roman" w:cs="Times New Roman"/>
                <w:sz w:val="20"/>
                <w:szCs w:val="20"/>
                <w:lang w:val="en-GB"/>
              </w:rPr>
              <w:t>set to zero</w:t>
            </w:r>
            <w:r w:rsidR="00676789">
              <w:rPr>
                <w:rFonts w:ascii="Times New Roman" w:hAnsi="Times New Roman" w:cs="Times New Roman"/>
                <w:sz w:val="20"/>
                <w:szCs w:val="20"/>
                <w:lang w:val="en-GB"/>
              </w:rPr>
              <w:t xml:space="preserve">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C0080/R0030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C0090/R0030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0030</w:t>
            </w:r>
          </w:p>
        </w:tc>
        <w:tc>
          <w:tcPr>
            <w:tcW w:w="2297" w:type="dxa"/>
            <w:gridSpan w:val="2"/>
            <w:tcBorders>
              <w:bottom w:val="single" w:sz="4" w:space="0" w:color="auto"/>
            </w:tcBorders>
          </w:tcPr>
          <w:p w:rsidR="00E70FBA"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297" w:type="dxa"/>
            <w:gridSpan w:val="2"/>
            <w:tcBorders>
              <w:bottom w:val="single" w:sz="4" w:space="0" w:color="auto"/>
            </w:tcBorders>
          </w:tcPr>
          <w:p w:rsidR="00E70FBA"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C0030/R0040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C0040/R0040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4560D9">
        <w:tc>
          <w:tcPr>
            <w:tcW w:w="1384" w:type="dxa"/>
            <w:tcBorders>
              <w:bottom w:val="single" w:sz="4" w:space="0" w:color="auto"/>
            </w:tcBorders>
          </w:tcPr>
          <w:p w:rsidR="00E70FBA" w:rsidRPr="0095474B" w:rsidRDefault="00E70FBA" w:rsidP="004560D9">
            <w:pPr>
              <w:rPr>
                <w:rFonts w:ascii="Times New Roman" w:hAnsi="Times New Roman" w:cs="Times New Roman"/>
                <w:sz w:val="20"/>
                <w:szCs w:val="20"/>
                <w:lang w:val="en-US"/>
              </w:rPr>
            </w:pPr>
            <w:r>
              <w:rPr>
                <w:rFonts w:ascii="Times New Roman" w:hAnsi="Times New Roman" w:cs="Times New Roman"/>
                <w:sz w:val="20"/>
                <w:szCs w:val="20"/>
                <w:lang w:val="en-US"/>
              </w:rPr>
              <w:t>C0050/R0040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C0060/R0040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C0070/R0040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C0080/R0040</w:t>
            </w:r>
          </w:p>
        </w:tc>
        <w:tc>
          <w:tcPr>
            <w:tcW w:w="2297"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4560D9">
        <w:tc>
          <w:tcPr>
            <w:tcW w:w="1384" w:type="dxa"/>
            <w:tcBorders>
              <w:bottom w:val="single" w:sz="4" w:space="0" w:color="auto"/>
            </w:tcBorders>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C0090/R0040</w:t>
            </w:r>
          </w:p>
        </w:tc>
        <w:tc>
          <w:tcPr>
            <w:tcW w:w="2297"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4560D9">
        <w:tc>
          <w:tcPr>
            <w:tcW w:w="1384" w:type="dxa"/>
            <w:tcBorders>
              <w:bottom w:val="single" w:sz="4" w:space="0" w:color="auto"/>
            </w:tcBorders>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0040</w:t>
            </w:r>
          </w:p>
        </w:tc>
        <w:tc>
          <w:tcPr>
            <w:tcW w:w="2297" w:type="dxa"/>
            <w:gridSpan w:val="2"/>
            <w:tcBorders>
              <w:bottom w:val="single" w:sz="4" w:space="0" w:color="auto"/>
            </w:tcBorders>
          </w:tcPr>
          <w:p w:rsidR="00E70FBA"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2A3027" w:rsidTr="004560D9">
        <w:tc>
          <w:tcPr>
            <w:tcW w:w="1384"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297" w:type="dxa"/>
            <w:gridSpan w:val="2"/>
          </w:tcPr>
          <w:p w:rsidR="00E70FBA"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A30DCD">
              <w:rPr>
                <w:rFonts w:ascii="Times New Roman" w:hAnsi="Times New Roman" w:cs="Times New Roman"/>
                <w:sz w:val="20"/>
                <w:szCs w:val="20"/>
                <w:lang w:val="en-GB"/>
              </w:rPr>
              <w:t>.</w:t>
            </w:r>
          </w:p>
        </w:tc>
      </w:tr>
      <w:tr w:rsidR="00E70FBA" w:rsidRPr="002A3027" w:rsidTr="004560D9">
        <w:tc>
          <w:tcPr>
            <w:tcW w:w="1384"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363326"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C0030/R0050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C0040/R0050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363326" w:rsidTr="004560D9">
        <w:tc>
          <w:tcPr>
            <w:tcW w:w="1384" w:type="dxa"/>
          </w:tcPr>
          <w:p w:rsidR="00E70FBA" w:rsidRPr="0095474B" w:rsidRDefault="00E70FBA" w:rsidP="004560D9">
            <w:pPr>
              <w:rPr>
                <w:rFonts w:ascii="Times New Roman" w:hAnsi="Times New Roman" w:cs="Times New Roman"/>
                <w:sz w:val="20"/>
                <w:szCs w:val="20"/>
                <w:lang w:val="en-US"/>
              </w:rPr>
            </w:pPr>
            <w:r>
              <w:rPr>
                <w:rFonts w:ascii="Times New Roman" w:hAnsi="Times New Roman" w:cs="Times New Roman"/>
                <w:sz w:val="20"/>
                <w:szCs w:val="20"/>
                <w:lang w:val="en-US"/>
              </w:rPr>
              <w:t>C0050/R0050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C0060/R0050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Pr="002A3027" w:rsidRDefault="00E70FBA" w:rsidP="006F704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363326"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C0070/R0050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tc>
      </w:tr>
      <w:tr w:rsidR="00E70FBA" w:rsidRPr="002A3027"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C0080/R0050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363326"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C0090/R0050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tc>
      </w:tr>
      <w:tr w:rsidR="00E70FBA" w:rsidRPr="00363326"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0050</w:t>
            </w:r>
          </w:p>
        </w:tc>
        <w:tc>
          <w:tcPr>
            <w:tcW w:w="2297" w:type="dxa"/>
            <w:gridSpan w:val="2"/>
          </w:tcPr>
          <w:p w:rsidR="00E70FBA"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Eligible own funds to meet SCR</w:t>
            </w:r>
          </w:p>
        </w:tc>
        <w:tc>
          <w:tcPr>
            <w:tcW w:w="4813" w:type="dxa"/>
          </w:tcPr>
          <w:p w:rsidR="00E70FBA" w:rsidRPr="006F704C"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E70FBA" w:rsidRPr="00363326" w:rsidTr="004560D9">
        <w:tc>
          <w:tcPr>
            <w:tcW w:w="1384"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297" w:type="dxa"/>
            <w:gridSpan w:val="2"/>
          </w:tcPr>
          <w:p w:rsidR="00E70FBA"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4560D9">
        <w:tc>
          <w:tcPr>
            <w:tcW w:w="1384"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C0030/R0060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C0040/R0060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4560D9">
        <w:tc>
          <w:tcPr>
            <w:tcW w:w="1384" w:type="dxa"/>
          </w:tcPr>
          <w:p w:rsidR="00E70FBA" w:rsidRPr="0095474B" w:rsidRDefault="00E70FBA" w:rsidP="004560D9">
            <w:pPr>
              <w:rPr>
                <w:rFonts w:ascii="Times New Roman" w:hAnsi="Times New Roman" w:cs="Times New Roman"/>
                <w:sz w:val="20"/>
                <w:szCs w:val="20"/>
                <w:lang w:val="en-US"/>
              </w:rPr>
            </w:pPr>
            <w:r>
              <w:rPr>
                <w:rFonts w:ascii="Times New Roman" w:hAnsi="Times New Roman" w:cs="Times New Roman"/>
                <w:sz w:val="20"/>
                <w:szCs w:val="20"/>
                <w:lang w:val="en-US"/>
              </w:rPr>
              <w:t>C0050/R0060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C0060/R0060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C0070/R0060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tc>
      </w:tr>
      <w:tr w:rsidR="00E70FBA" w:rsidRPr="00363326"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C0080/R0060</w:t>
            </w:r>
          </w:p>
        </w:tc>
        <w:tc>
          <w:tcPr>
            <w:tcW w:w="2297"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4560D9">
        <w:tc>
          <w:tcPr>
            <w:tcW w:w="1384" w:type="dxa"/>
          </w:tcPr>
          <w:p w:rsidR="00E70FBA"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C0090/R0060</w:t>
            </w:r>
          </w:p>
        </w:tc>
        <w:tc>
          <w:tcPr>
            <w:tcW w:w="2297"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tc>
      </w:tr>
      <w:tr w:rsidR="00E70FBA" w:rsidRPr="002A3027" w:rsidTr="004560D9">
        <w:tc>
          <w:tcPr>
            <w:tcW w:w="1384" w:type="dxa"/>
          </w:tcPr>
          <w:p w:rsidR="00E70FBA" w:rsidRPr="002A3027" w:rsidRDefault="00E70FBA"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0060</w:t>
            </w:r>
          </w:p>
        </w:tc>
        <w:tc>
          <w:tcPr>
            <w:tcW w:w="2297" w:type="dxa"/>
            <w:gridSpan w:val="2"/>
          </w:tcPr>
          <w:p w:rsidR="00E70FBA"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297" w:type="dxa"/>
            <w:gridSpan w:val="2"/>
          </w:tcPr>
          <w:p w:rsidR="00D23E65"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C0030/R0070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C0040/R0070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4560D9">
        <w:tc>
          <w:tcPr>
            <w:tcW w:w="1384" w:type="dxa"/>
          </w:tcPr>
          <w:p w:rsidR="00D23E65" w:rsidRPr="0095474B" w:rsidRDefault="00D23E65" w:rsidP="004560D9">
            <w:pPr>
              <w:rPr>
                <w:rFonts w:ascii="Times New Roman" w:hAnsi="Times New Roman" w:cs="Times New Roman"/>
                <w:sz w:val="20"/>
                <w:szCs w:val="20"/>
                <w:lang w:val="en-US"/>
              </w:rPr>
            </w:pPr>
            <w:r>
              <w:rPr>
                <w:rFonts w:ascii="Times New Roman" w:hAnsi="Times New Roman" w:cs="Times New Roman"/>
                <w:sz w:val="20"/>
                <w:szCs w:val="20"/>
                <w:lang w:val="en-US"/>
              </w:rPr>
              <w:t>C0050/R0070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C0060/R0070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C0070/R0070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C0080/R0070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C0090/R0070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tc>
      </w:tr>
      <w:tr w:rsidR="00D23E65" w:rsidRPr="002A3027"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0070</w:t>
            </w:r>
          </w:p>
        </w:tc>
        <w:tc>
          <w:tcPr>
            <w:tcW w:w="2297" w:type="dxa"/>
            <w:gridSpan w:val="2"/>
          </w:tcPr>
          <w:p w:rsidR="00D23E65"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D23E65">
              <w:rPr>
                <w:rFonts w:ascii="Times New Roman" w:hAnsi="Times New Roman" w:cs="Times New Roman"/>
                <w:sz w:val="20"/>
                <w:szCs w:val="20"/>
                <w:lang w:val="en-GB"/>
              </w:rPr>
              <w:t xml:space="preserve"> </w:t>
            </w:r>
            <w:r w:rsidR="00D23E65" w:rsidRPr="002A3027">
              <w:rPr>
                <w:rFonts w:ascii="Times New Roman" w:hAnsi="Times New Roman" w:cs="Times New Roman"/>
                <w:sz w:val="20"/>
                <w:szCs w:val="20"/>
                <w:lang w:val="en-GB"/>
              </w:rPr>
              <w:t>–</w:t>
            </w:r>
            <w:r w:rsidR="00D23E65">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BC0F3D" w:rsidRPr="00363326" w:rsidTr="004560D9">
        <w:tc>
          <w:tcPr>
            <w:tcW w:w="1384"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297" w:type="dxa"/>
            <w:gridSpan w:val="2"/>
          </w:tcPr>
          <w:p w:rsidR="00BC0F3D"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BC0F3D" w:rsidRPr="002A3027">
              <w:rPr>
                <w:rFonts w:ascii="Times New Roman" w:hAnsi="Times New Roman" w:cs="Times New Roman"/>
                <w:sz w:val="20"/>
                <w:szCs w:val="20"/>
                <w:lang w:val="en-GB"/>
              </w:rPr>
              <w:t xml:space="preserve"> – </w:t>
            </w:r>
            <w:r w:rsidR="00BC0F3D">
              <w:rPr>
                <w:rFonts w:ascii="Times New Roman" w:hAnsi="Times New Roman" w:cs="Times New Roman"/>
                <w:sz w:val="20"/>
                <w:szCs w:val="20"/>
                <w:lang w:val="en-GB"/>
              </w:rPr>
              <w:t>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4560D9">
        <w:tc>
          <w:tcPr>
            <w:tcW w:w="1384"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297"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4560D9">
        <w:tc>
          <w:tcPr>
            <w:tcW w:w="1384" w:type="dxa"/>
          </w:tcPr>
          <w:p w:rsidR="00BC0F3D"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C0030/R0080</w:t>
            </w:r>
          </w:p>
        </w:tc>
        <w:tc>
          <w:tcPr>
            <w:tcW w:w="2297"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BC0F3D"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4560D9">
        <w:tc>
          <w:tcPr>
            <w:tcW w:w="1384" w:type="dxa"/>
          </w:tcPr>
          <w:p w:rsidR="00BC0F3D" w:rsidRPr="002A3027"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C0040/R0080</w:t>
            </w:r>
          </w:p>
        </w:tc>
        <w:tc>
          <w:tcPr>
            <w:tcW w:w="2297"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4560D9">
        <w:tc>
          <w:tcPr>
            <w:tcW w:w="1384" w:type="dxa"/>
          </w:tcPr>
          <w:p w:rsidR="00BC0F3D" w:rsidRPr="0095474B" w:rsidRDefault="00BC0F3D" w:rsidP="004560D9">
            <w:pPr>
              <w:rPr>
                <w:rFonts w:ascii="Times New Roman" w:hAnsi="Times New Roman" w:cs="Times New Roman"/>
                <w:sz w:val="20"/>
                <w:szCs w:val="20"/>
                <w:lang w:val="en-US"/>
              </w:rPr>
            </w:pPr>
            <w:r>
              <w:rPr>
                <w:rFonts w:ascii="Times New Roman" w:hAnsi="Times New Roman" w:cs="Times New Roman"/>
                <w:sz w:val="20"/>
                <w:szCs w:val="20"/>
                <w:lang w:val="en-US"/>
              </w:rPr>
              <w:t>C0050/R0080</w:t>
            </w:r>
          </w:p>
        </w:tc>
        <w:tc>
          <w:tcPr>
            <w:tcW w:w="2297"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4560D9">
        <w:tc>
          <w:tcPr>
            <w:tcW w:w="1384" w:type="dxa"/>
          </w:tcPr>
          <w:p w:rsidR="00BC0F3D" w:rsidRPr="002A3027"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C0060/R0080</w:t>
            </w:r>
          </w:p>
        </w:tc>
        <w:tc>
          <w:tcPr>
            <w:tcW w:w="2297"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4560D9">
        <w:tc>
          <w:tcPr>
            <w:tcW w:w="1384" w:type="dxa"/>
          </w:tcPr>
          <w:p w:rsidR="00BC0F3D"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C0070/R0080</w:t>
            </w:r>
          </w:p>
        </w:tc>
        <w:tc>
          <w:tcPr>
            <w:tcW w:w="2297"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tc>
      </w:tr>
      <w:tr w:rsidR="00BC0F3D" w:rsidRPr="00363326" w:rsidTr="004560D9">
        <w:tc>
          <w:tcPr>
            <w:tcW w:w="1384" w:type="dxa"/>
          </w:tcPr>
          <w:p w:rsidR="00BC0F3D" w:rsidRPr="002A3027"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C0080/R0080</w:t>
            </w:r>
          </w:p>
        </w:tc>
        <w:tc>
          <w:tcPr>
            <w:tcW w:w="2297"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4560D9">
        <w:tc>
          <w:tcPr>
            <w:tcW w:w="1384" w:type="dxa"/>
          </w:tcPr>
          <w:p w:rsidR="00BC0F3D"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C0090/R0080</w:t>
            </w:r>
          </w:p>
        </w:tc>
        <w:tc>
          <w:tcPr>
            <w:tcW w:w="2297"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tc>
      </w:tr>
      <w:tr w:rsidR="00BC0F3D" w:rsidRPr="002A3027" w:rsidTr="004560D9">
        <w:tc>
          <w:tcPr>
            <w:tcW w:w="1384" w:type="dxa"/>
          </w:tcPr>
          <w:p w:rsidR="00BC0F3D" w:rsidRPr="002A3027" w:rsidRDefault="00BC0F3D"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0080</w:t>
            </w:r>
          </w:p>
        </w:tc>
        <w:tc>
          <w:tcPr>
            <w:tcW w:w="2297" w:type="dxa"/>
            <w:gridSpan w:val="2"/>
          </w:tcPr>
          <w:p w:rsidR="00BC0F3D" w:rsidRPr="002A3027" w:rsidRDefault="00676789">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BC0F3D">
              <w:rPr>
                <w:rFonts w:ascii="Times New Roman" w:hAnsi="Times New Roman" w:cs="Times New Roman"/>
                <w:sz w:val="20"/>
                <w:szCs w:val="20"/>
                <w:lang w:val="en-GB"/>
              </w:rPr>
              <w:t xml:space="preserve"> </w:t>
            </w:r>
            <w:r w:rsidR="00BC0F3D" w:rsidRPr="002A3027">
              <w:rPr>
                <w:rFonts w:ascii="Times New Roman" w:hAnsi="Times New Roman" w:cs="Times New Roman"/>
                <w:sz w:val="20"/>
                <w:szCs w:val="20"/>
                <w:lang w:val="en-GB"/>
              </w:rPr>
              <w:t>–</w:t>
            </w:r>
            <w:r w:rsidR="00BC0F3D">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297" w:type="dxa"/>
            <w:gridSpan w:val="2"/>
          </w:tcPr>
          <w:p w:rsidR="00D23E65" w:rsidRPr="002A3027" w:rsidRDefault="00DB2EDE" w:rsidP="00215051">
            <w:pPr>
              <w:rPr>
                <w:rFonts w:ascii="Times New Roman" w:hAnsi="Times New Roman" w:cs="Times New Roman"/>
                <w:sz w:val="20"/>
                <w:szCs w:val="20"/>
                <w:lang w:val="en-GB"/>
              </w:rPr>
            </w:pP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4560D9">
        <w:tc>
          <w:tcPr>
            <w:tcW w:w="1384"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sidR="005E37B5">
              <w:rPr>
                <w:rFonts w:ascii="Times New Roman" w:hAnsi="Times New Roman" w:cs="Times New Roman"/>
                <w:sz w:val="20"/>
                <w:szCs w:val="20"/>
                <w:lang w:val="en-GB"/>
              </w:rPr>
              <w:t xml:space="preserve"> </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C0030/R0090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C0040/R0090</w:t>
            </w:r>
          </w:p>
        </w:tc>
        <w:tc>
          <w:tcPr>
            <w:tcW w:w="2297" w:type="dxa"/>
            <w:gridSpan w:val="2"/>
          </w:tcPr>
          <w:p w:rsidR="00D23E65" w:rsidRPr="002A3027" w:rsidRDefault="00D23E65" w:rsidP="005E37B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4560D9">
        <w:tc>
          <w:tcPr>
            <w:tcW w:w="1384" w:type="dxa"/>
          </w:tcPr>
          <w:p w:rsidR="00D23E65" w:rsidRPr="0095474B" w:rsidRDefault="00D23E65" w:rsidP="004560D9">
            <w:pPr>
              <w:rPr>
                <w:rFonts w:ascii="Times New Roman" w:hAnsi="Times New Roman" w:cs="Times New Roman"/>
                <w:sz w:val="20"/>
                <w:szCs w:val="20"/>
                <w:lang w:val="en-US"/>
              </w:rPr>
            </w:pPr>
            <w:r>
              <w:rPr>
                <w:rFonts w:ascii="Times New Roman" w:hAnsi="Times New Roman" w:cs="Times New Roman"/>
                <w:sz w:val="20"/>
                <w:szCs w:val="20"/>
                <w:lang w:val="en-US"/>
              </w:rPr>
              <w:t>C0050/R0090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C0060/R0090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C0070/R0090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tc>
      </w:tr>
      <w:tr w:rsidR="00D23E65" w:rsidRPr="00363326"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C0080/R0090</w:t>
            </w:r>
          </w:p>
        </w:tc>
        <w:tc>
          <w:tcPr>
            <w:tcW w:w="2297"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4560D9">
        <w:tc>
          <w:tcPr>
            <w:tcW w:w="1384" w:type="dxa"/>
          </w:tcPr>
          <w:p w:rsidR="00D23E65"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C0090/R0090</w:t>
            </w:r>
          </w:p>
        </w:tc>
        <w:tc>
          <w:tcPr>
            <w:tcW w:w="2297"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D23E65" w:rsidRPr="002A3027" w:rsidRDefault="000F3016" w:rsidP="004560D9">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tc>
      </w:tr>
      <w:tr w:rsidR="00D23E65" w:rsidRPr="002A3027" w:rsidTr="004560D9">
        <w:tc>
          <w:tcPr>
            <w:tcW w:w="1384" w:type="dxa"/>
          </w:tcPr>
          <w:p w:rsidR="00D23E65" w:rsidRPr="002A3027" w:rsidRDefault="00D23E65" w:rsidP="004560D9">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0090</w:t>
            </w:r>
          </w:p>
        </w:tc>
        <w:tc>
          <w:tcPr>
            <w:tcW w:w="2297" w:type="dxa"/>
            <w:gridSpan w:val="2"/>
          </w:tcPr>
          <w:p w:rsidR="00D23E65" w:rsidRPr="002A3027" w:rsidRDefault="00676789" w:rsidP="005E37B5">
            <w:pPr>
              <w:rPr>
                <w:rFonts w:ascii="Times New Roman" w:hAnsi="Times New Roman" w:cs="Times New Roman"/>
                <w:sz w:val="20"/>
                <w:szCs w:val="20"/>
                <w:lang w:val="en-GB"/>
              </w:rPr>
            </w:pP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proofErr w:type="spellEnd"/>
            <w:r w:rsidR="00D23E65">
              <w:rPr>
                <w:rFonts w:ascii="Times New Roman" w:hAnsi="Times New Roman" w:cs="Times New Roman"/>
                <w:sz w:val="20"/>
                <w:szCs w:val="20"/>
                <w:lang w:val="en-GB"/>
              </w:rPr>
              <w:t xml:space="preserve"> </w:t>
            </w:r>
            <w:r w:rsidR="00D23E65" w:rsidRPr="002A3027">
              <w:rPr>
                <w:rFonts w:ascii="Times New Roman" w:hAnsi="Times New Roman" w:cs="Times New Roman"/>
                <w:sz w:val="20"/>
                <w:szCs w:val="20"/>
                <w:lang w:val="en-GB"/>
              </w:rPr>
              <w:t>–</w:t>
            </w:r>
            <w:r w:rsidR="005E37B5">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SCR due to the application of the </w:t>
            </w: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7D46"/>
    <w:rsid w:val="00043FD3"/>
    <w:rsid w:val="0005312B"/>
    <w:rsid w:val="0006765A"/>
    <w:rsid w:val="00073B1F"/>
    <w:rsid w:val="0007700E"/>
    <w:rsid w:val="0009259A"/>
    <w:rsid w:val="000B616E"/>
    <w:rsid w:val="000C2714"/>
    <w:rsid w:val="000D236F"/>
    <w:rsid w:val="000F3016"/>
    <w:rsid w:val="00116B81"/>
    <w:rsid w:val="00117F4D"/>
    <w:rsid w:val="001340DC"/>
    <w:rsid w:val="0016414F"/>
    <w:rsid w:val="001E508E"/>
    <w:rsid w:val="001E7DA9"/>
    <w:rsid w:val="002001B5"/>
    <w:rsid w:val="00200EC4"/>
    <w:rsid w:val="00215051"/>
    <w:rsid w:val="0021648F"/>
    <w:rsid w:val="0022470A"/>
    <w:rsid w:val="00224D30"/>
    <w:rsid w:val="00283B3E"/>
    <w:rsid w:val="002B5EB5"/>
    <w:rsid w:val="002D3D4B"/>
    <w:rsid w:val="002F5004"/>
    <w:rsid w:val="003254F4"/>
    <w:rsid w:val="00363326"/>
    <w:rsid w:val="00373384"/>
    <w:rsid w:val="003A2966"/>
    <w:rsid w:val="003F746C"/>
    <w:rsid w:val="00401FE6"/>
    <w:rsid w:val="00416B4A"/>
    <w:rsid w:val="0043619C"/>
    <w:rsid w:val="00445626"/>
    <w:rsid w:val="004540BA"/>
    <w:rsid w:val="004560D9"/>
    <w:rsid w:val="004833CF"/>
    <w:rsid w:val="004D71E0"/>
    <w:rsid w:val="004F5AE7"/>
    <w:rsid w:val="00522FF8"/>
    <w:rsid w:val="00573F19"/>
    <w:rsid w:val="005C0ED9"/>
    <w:rsid w:val="005D3D4A"/>
    <w:rsid w:val="005E37B5"/>
    <w:rsid w:val="00615CF6"/>
    <w:rsid w:val="00624E25"/>
    <w:rsid w:val="00641969"/>
    <w:rsid w:val="00655A6D"/>
    <w:rsid w:val="00661146"/>
    <w:rsid w:val="00661A9D"/>
    <w:rsid w:val="00676789"/>
    <w:rsid w:val="006F704C"/>
    <w:rsid w:val="00702663"/>
    <w:rsid w:val="007273E5"/>
    <w:rsid w:val="00733202"/>
    <w:rsid w:val="007425E3"/>
    <w:rsid w:val="00775C8E"/>
    <w:rsid w:val="0078138A"/>
    <w:rsid w:val="00782C37"/>
    <w:rsid w:val="007A0631"/>
    <w:rsid w:val="007A2E0C"/>
    <w:rsid w:val="00853BE0"/>
    <w:rsid w:val="00873986"/>
    <w:rsid w:val="008D10DE"/>
    <w:rsid w:val="009225C8"/>
    <w:rsid w:val="00950B92"/>
    <w:rsid w:val="00960EE3"/>
    <w:rsid w:val="00962D3D"/>
    <w:rsid w:val="009919C0"/>
    <w:rsid w:val="009A0DB6"/>
    <w:rsid w:val="009B09AF"/>
    <w:rsid w:val="009D4FA7"/>
    <w:rsid w:val="009F4C8D"/>
    <w:rsid w:val="00A30DCD"/>
    <w:rsid w:val="00A54C6A"/>
    <w:rsid w:val="00A56A42"/>
    <w:rsid w:val="00AC1B79"/>
    <w:rsid w:val="00AF316A"/>
    <w:rsid w:val="00B00526"/>
    <w:rsid w:val="00B945D5"/>
    <w:rsid w:val="00BC0F3D"/>
    <w:rsid w:val="00BE4917"/>
    <w:rsid w:val="00C350DE"/>
    <w:rsid w:val="00C41668"/>
    <w:rsid w:val="00C53211"/>
    <w:rsid w:val="00C641CC"/>
    <w:rsid w:val="00CF5376"/>
    <w:rsid w:val="00D05A21"/>
    <w:rsid w:val="00D23E65"/>
    <w:rsid w:val="00D5189A"/>
    <w:rsid w:val="00D70019"/>
    <w:rsid w:val="00D93030"/>
    <w:rsid w:val="00DA3A95"/>
    <w:rsid w:val="00DB2EDE"/>
    <w:rsid w:val="00DE33A6"/>
    <w:rsid w:val="00E02CBB"/>
    <w:rsid w:val="00E10E91"/>
    <w:rsid w:val="00E117FC"/>
    <w:rsid w:val="00E61334"/>
    <w:rsid w:val="00E61FC6"/>
    <w:rsid w:val="00E70FBA"/>
    <w:rsid w:val="00EA1FE9"/>
    <w:rsid w:val="00EF4F4A"/>
    <w:rsid w:val="00F21169"/>
    <w:rsid w:val="00FD43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D05A21"/>
    <w:rPr>
      <w:sz w:val="16"/>
      <w:szCs w:val="16"/>
    </w:rPr>
  </w:style>
  <w:style w:type="paragraph" w:styleId="CommentText">
    <w:name w:val="annotation text"/>
    <w:basedOn w:val="Normal"/>
    <w:link w:val="CommentTextChar"/>
    <w:uiPriority w:val="99"/>
    <w:semiHidden/>
    <w:unhideWhenUsed/>
    <w:rsid w:val="00D05A21"/>
    <w:pPr>
      <w:spacing w:line="240" w:lineRule="auto"/>
    </w:pPr>
    <w:rPr>
      <w:sz w:val="20"/>
      <w:szCs w:val="20"/>
    </w:rPr>
  </w:style>
  <w:style w:type="character" w:customStyle="1" w:styleId="CommentTextChar">
    <w:name w:val="Comment Text Char"/>
    <w:basedOn w:val="DefaultParagraphFont"/>
    <w:link w:val="CommentText"/>
    <w:uiPriority w:val="99"/>
    <w:semiHidden/>
    <w:rsid w:val="00D05A21"/>
    <w:rPr>
      <w:sz w:val="20"/>
      <w:szCs w:val="20"/>
    </w:rPr>
  </w:style>
  <w:style w:type="paragraph" w:styleId="CommentSubject">
    <w:name w:val="annotation subject"/>
    <w:basedOn w:val="CommentText"/>
    <w:next w:val="CommentText"/>
    <w:link w:val="CommentSubjectChar"/>
    <w:uiPriority w:val="99"/>
    <w:semiHidden/>
    <w:unhideWhenUsed/>
    <w:rsid w:val="00D05A21"/>
    <w:rPr>
      <w:b/>
      <w:bCs/>
    </w:rPr>
  </w:style>
  <w:style w:type="character" w:customStyle="1" w:styleId="CommentSubjectChar">
    <w:name w:val="Comment Subject Char"/>
    <w:basedOn w:val="CommentTextChar"/>
    <w:link w:val="CommentSubject"/>
    <w:uiPriority w:val="99"/>
    <w:semiHidden/>
    <w:rsid w:val="00D05A2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D05A21"/>
    <w:rPr>
      <w:sz w:val="16"/>
      <w:szCs w:val="16"/>
    </w:rPr>
  </w:style>
  <w:style w:type="paragraph" w:styleId="CommentText">
    <w:name w:val="annotation text"/>
    <w:basedOn w:val="Normal"/>
    <w:link w:val="CommentTextChar"/>
    <w:uiPriority w:val="99"/>
    <w:semiHidden/>
    <w:unhideWhenUsed/>
    <w:rsid w:val="00D05A21"/>
    <w:pPr>
      <w:spacing w:line="240" w:lineRule="auto"/>
    </w:pPr>
    <w:rPr>
      <w:sz w:val="20"/>
      <w:szCs w:val="20"/>
    </w:rPr>
  </w:style>
  <w:style w:type="character" w:customStyle="1" w:styleId="CommentTextChar">
    <w:name w:val="Comment Text Char"/>
    <w:basedOn w:val="DefaultParagraphFont"/>
    <w:link w:val="CommentText"/>
    <w:uiPriority w:val="99"/>
    <w:semiHidden/>
    <w:rsid w:val="00D05A21"/>
    <w:rPr>
      <w:sz w:val="20"/>
      <w:szCs w:val="20"/>
    </w:rPr>
  </w:style>
  <w:style w:type="paragraph" w:styleId="CommentSubject">
    <w:name w:val="annotation subject"/>
    <w:basedOn w:val="CommentText"/>
    <w:next w:val="CommentText"/>
    <w:link w:val="CommentSubjectChar"/>
    <w:uiPriority w:val="99"/>
    <w:semiHidden/>
    <w:unhideWhenUsed/>
    <w:rsid w:val="00D05A21"/>
    <w:rPr>
      <w:b/>
      <w:bCs/>
    </w:rPr>
  </w:style>
  <w:style w:type="character" w:customStyle="1" w:styleId="CommentSubjectChar">
    <w:name w:val="Comment Subject Char"/>
    <w:basedOn w:val="CommentTextChar"/>
    <w:link w:val="CommentSubject"/>
    <w:uiPriority w:val="99"/>
    <w:semiHidden/>
    <w:rsid w:val="00D05A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55D5E-E6EE-4AF5-988C-C9A53AFD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5281</Words>
  <Characters>30792</Characters>
  <Application>Microsoft Office Word</Application>
  <DocSecurity>0</DocSecurity>
  <Lines>1140</Lines>
  <Paragraphs>419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35654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3</cp:revision>
  <dcterms:created xsi:type="dcterms:W3CDTF">2015-07-01T09:28:00Z</dcterms:created>
  <dcterms:modified xsi:type="dcterms:W3CDTF">2015-07-01T09:32:00Z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-1537459253</vt:i4>
  </property>
  <property fmtid="{D5CDD505-2E9C-101B-9397-08002B2CF9AE}" pid="3" name="_NewReviewCycle">
    <vt:lpwstr/>
  </property>
  <property fmtid="{D5CDD505-2E9C-101B-9397-08002B2CF9AE}" pid="4" name="_EmailSubject">
    <vt:lpwstr>LTG and transitional measures reporting package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-1862300825</vt:i4>
  </property>
  <property fmtid="{D5CDD505-2E9C-101B-9397-08002B2CF9AE}" pid="8" name="_ReviewingToolsShownOnce">
    <vt:lpwstr/>
  </property>
</Properties>
</file>